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64" w:rsidRDefault="00544864" w:rsidP="0054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Приложение №1: ПРЕЙСКУРАНТ УСЛУГ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gramStart"/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г</w:t>
      </w:r>
      <w:proofErr w:type="gramEnd"/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. Волгоград 29.05.2020 г.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Утвержден Приказом № 2 ООО «ГЕЙН» от «29» мая 2020 года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ТАБЛИЦА С ЦЕНАМИ, СРОКАМИ И ИНЫМИ УСЛОВИЯМИ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Услуга: Правовая помощь. </w:t>
      </w:r>
      <w:proofErr w:type="spellStart"/>
      <w:proofErr w:type="gramStart"/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Тариф-Досудебная</w:t>
      </w:r>
      <w:proofErr w:type="spellEnd"/>
      <w:proofErr w:type="gramEnd"/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работа</w:t>
      </w:r>
    </w:p>
    <w:p w:rsidR="00544864" w:rsidRDefault="00544864" w:rsidP="0054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544864" w:rsidRPr="00544864" w:rsidRDefault="00544864" w:rsidP="005448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5576"/>
        <w:gridCol w:w="1602"/>
        <w:gridCol w:w="1329"/>
        <w:gridCol w:w="606"/>
      </w:tblGrid>
      <w:tr w:rsidR="00544864" w:rsidRPr="00544864" w:rsidTr="00544864">
        <w:trPr>
          <w:tblHeader/>
        </w:trPr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услуги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оказания услуги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услуги (</w:t>
            </w:r>
            <w:proofErr w:type="spellStart"/>
            <w:r w:rsidRPr="005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54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864" w:rsidRPr="00544864" w:rsidTr="00544864">
        <w:tc>
          <w:tcPr>
            <w:tcW w:w="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</w:t>
            </w:r>
          </w:p>
        </w:tc>
        <w:tc>
          <w:tcPr>
            <w:tcW w:w="3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Ознакомление с документами, предоставленными Заказчиком. Подготовка заявлений для истребования сведений по кредитным обязательствам Заказчика, данных и/или документов у Кредиторов Заказчика. Анализ кредитных обязательств Заказчика. Формирование дела Заказчика.</w:t>
            </w:r>
          </w:p>
        </w:tc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10 000</w:t>
            </w:r>
          </w:p>
        </w:tc>
        <w:tc>
          <w:tcPr>
            <w:tcW w:w="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</w:tr>
      <w:tr w:rsidR="00544864" w:rsidRPr="00544864" w:rsidTr="00544864"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</w:t>
            </w:r>
          </w:p>
        </w:tc>
        <w:tc>
          <w:tcPr>
            <w:tcW w:w="3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Создание документа отзыв персональных данных и иных согласий у Кредиторов и лиц, осуществляющих взыскание задолженности.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10 000</w:t>
            </w:r>
          </w:p>
        </w:tc>
        <w:tc>
          <w:tcPr>
            <w:tcW w:w="6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</w:tr>
      <w:tr w:rsidR="00544864" w:rsidRPr="00544864" w:rsidTr="00544864"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3</w:t>
            </w:r>
          </w:p>
        </w:tc>
        <w:tc>
          <w:tcPr>
            <w:tcW w:w="3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Составление претензий или заявлений Кредиторам. Соблюдения претензионного (досудебного) порядка урегулирования спора.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1-2 мес.</w:t>
            </w:r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10 000</w:t>
            </w:r>
          </w:p>
        </w:tc>
        <w:tc>
          <w:tcPr>
            <w:tcW w:w="6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</w:tr>
      <w:tr w:rsidR="00544864" w:rsidRPr="00544864" w:rsidTr="00544864"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4</w:t>
            </w:r>
          </w:p>
        </w:tc>
        <w:tc>
          <w:tcPr>
            <w:tcW w:w="3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Составление жалоб, заявлений, претензий в компетентные государственные и муниципальные органы, организации, союзы и учреждения, иным юридическим и физическим лицам./ Составление жалоб и заявлений в Службу финансового уполномоченного РФ и соблюдение иного досудебного порядка урегулирования спора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1-мес.</w:t>
            </w:r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10 000</w:t>
            </w:r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</w:tr>
      <w:tr w:rsidR="00544864" w:rsidRPr="00544864" w:rsidTr="00544864"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  <w:tc>
          <w:tcPr>
            <w:tcW w:w="3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ВСЕГО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5 мес.</w:t>
            </w:r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544864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40 000</w:t>
            </w:r>
          </w:p>
        </w:tc>
        <w:tc>
          <w:tcPr>
            <w:tcW w:w="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44864" w:rsidRPr="00544864" w:rsidRDefault="00544864" w:rsidP="00544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</w:tr>
    </w:tbl>
    <w:p w:rsidR="00544864" w:rsidRPr="00544864" w:rsidRDefault="00544864" w:rsidP="00544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lastRenderedPageBreak/>
        <w:t>Условия оказания услуг, указанных в Прейскуранте: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1.1.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gramStart"/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 имеет право не приступить к оказанию услуг, предусмотренных указанной Офертой, в течение 3-х рабочих дней в случае неисполнения Заказчиком следующих обязательств: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1.1.1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. оформления и передачи Исполнителю нотариально удостоверенной доверенности (при необходимости представления интересов Заказчика перед третьими лицами);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1.1.2.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 предоставления Заказчиком всей необходимой информации (документации);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1.1.3. 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полной оплаты Заказчиком услуг Исполнителя.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1.2.</w:t>
      </w:r>
      <w:proofErr w:type="gramEnd"/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 Заказчик обязуется производить ежемесячные взносы по оплате услуг Исполнителя в соответствии с графиком оплат, но не позднее 16 числа каждого месяца.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2.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gramStart"/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Заказчик обязуется оплатить дополнительные расходы, не предусмотренные настоящим Соглашением, в виде: оплаты государственных пошлин, оплаты услуг нотариуса, почтовых расходов и прочих необходимых затрат (в том числе услуг третьих лиц, необходимых для исполнения сторонами обязательств по настоящему договору), а также транспортные расходы Исполнителя, понесенные им в связи с выполнением своих обязательств.</w:t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544864">
        <w:rPr>
          <w:rFonts w:ascii="Times New Roman" w:eastAsia="Times New Roman" w:hAnsi="Times New Roman" w:cs="Times New Roman"/>
          <w:b/>
          <w:bCs/>
          <w:color w:val="000000"/>
          <w:sz w:val="30"/>
        </w:rPr>
        <w:t>3.</w:t>
      </w:r>
      <w:proofErr w:type="gramEnd"/>
      <w:r w:rsidRPr="00544864">
        <w:rPr>
          <w:rFonts w:ascii="Times New Roman" w:eastAsia="Times New Roman" w:hAnsi="Times New Roman" w:cs="Times New Roman"/>
          <w:color w:val="000000"/>
          <w:sz w:val="30"/>
          <w:szCs w:val="30"/>
        </w:rPr>
        <w:t> Оплата услуг является безусловной и не возвращается «Заказчику» вне зависимости от обстоятельств (содержания судебного решения, наличия судебного процесса как такового, не возможности начала работ из-за отсутствия полномочий или необходимых документов «Заказчика» у «Исполнителя», и так далее), за исключением случаев невозможности оказания услуг «Исполнителем» по его вине.</w:t>
      </w:r>
    </w:p>
    <w:p w:rsidR="0037108E" w:rsidRDefault="0037108E"/>
    <w:sectPr w:rsidR="0037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864"/>
    <w:rsid w:val="0037108E"/>
    <w:rsid w:val="0054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53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2021-04-19T19:24:00Z</dcterms:created>
  <dcterms:modified xsi:type="dcterms:W3CDTF">2021-04-19T19:25:00Z</dcterms:modified>
</cp:coreProperties>
</file>